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C5" w:rsidRPr="00FF4E1B" w:rsidRDefault="006156C5" w:rsidP="00641564">
      <w:pPr>
        <w:jc w:val="center"/>
        <w:rPr>
          <w:rFonts w:ascii="Times New Roman" w:eastAsia="標楷體" w:hAnsi="標楷體" w:cs="Times New Roman"/>
          <w:b/>
          <w:sz w:val="28"/>
        </w:rPr>
      </w:pPr>
      <w:r w:rsidRPr="00FF4E1B">
        <w:rPr>
          <w:rFonts w:ascii="Times New Roman" w:eastAsia="標楷體" w:hAnsi="標楷體" w:cs="Times New Roman" w:hint="eastAsia"/>
          <w:b/>
          <w:sz w:val="28"/>
        </w:rPr>
        <w:t>金門建設</w:t>
      </w:r>
      <w:r w:rsidR="00641564" w:rsidRPr="00FF4E1B">
        <w:rPr>
          <w:rFonts w:ascii="Times New Roman" w:eastAsia="標楷體" w:hAnsi="標楷體" w:cs="Times New Roman" w:hint="eastAsia"/>
          <w:b/>
          <w:sz w:val="28"/>
        </w:rPr>
        <w:t>興安四</w:t>
      </w:r>
      <w:r w:rsidRPr="00FF4E1B">
        <w:rPr>
          <w:rFonts w:ascii="Times New Roman" w:eastAsia="標楷體" w:hAnsi="標楷體" w:cs="Times New Roman" w:hint="eastAsia"/>
          <w:b/>
          <w:sz w:val="28"/>
        </w:rPr>
        <w:t>小</w:t>
      </w:r>
      <w:r w:rsidRPr="00FF4E1B">
        <w:rPr>
          <w:rFonts w:ascii="Times New Roman" w:eastAsia="標楷體" w:hAnsi="標楷體" w:cs="Times New Roman" w:hint="eastAsia"/>
          <w:b/>
          <w:sz w:val="28"/>
        </w:rPr>
        <w:t>122</w:t>
      </w:r>
      <w:r w:rsidRPr="00FF4E1B">
        <w:rPr>
          <w:rFonts w:ascii="Times New Roman" w:eastAsia="標楷體" w:hAnsi="標楷體" w:cs="Times New Roman" w:hint="eastAsia"/>
          <w:b/>
          <w:sz w:val="28"/>
        </w:rPr>
        <w:t>地號都更案</w:t>
      </w:r>
    </w:p>
    <w:p w:rsidR="00641564" w:rsidRPr="00FF4E1B" w:rsidRDefault="00641564" w:rsidP="00641564">
      <w:pPr>
        <w:jc w:val="center"/>
        <w:rPr>
          <w:rFonts w:ascii="Times New Roman" w:eastAsia="標楷體" w:hAnsi="標楷體" w:cs="Times New Roman"/>
          <w:b/>
          <w:sz w:val="28"/>
        </w:rPr>
      </w:pPr>
      <w:r w:rsidRPr="00FF4E1B">
        <w:rPr>
          <w:rFonts w:ascii="Times New Roman" w:eastAsia="標楷體" w:hAnsi="標楷體" w:cs="Times New Roman" w:hint="eastAsia"/>
          <w:b/>
          <w:sz w:val="28"/>
        </w:rPr>
        <w:t>選配原則</w:t>
      </w:r>
      <w:r w:rsidRPr="00FF4E1B">
        <w:rPr>
          <w:rFonts w:ascii="Times New Roman" w:eastAsia="標楷體" w:hAnsi="標楷體" w:cs="Times New Roman" w:hint="eastAsia"/>
          <w:b/>
          <w:sz w:val="28"/>
        </w:rPr>
        <w:t>10</w:t>
      </w:r>
      <w:r w:rsidR="003F5267" w:rsidRPr="00FF4E1B">
        <w:rPr>
          <w:rFonts w:ascii="Times New Roman" w:eastAsia="標楷體" w:hAnsi="標楷體" w:cs="Times New Roman" w:hint="eastAsia"/>
          <w:b/>
          <w:sz w:val="28"/>
        </w:rPr>
        <w:t>4.1.12</w:t>
      </w:r>
    </w:p>
    <w:p w:rsidR="00213B59" w:rsidRDefault="00213B59" w:rsidP="00213B59">
      <w:pPr>
        <w:spacing w:line="500" w:lineRule="exact"/>
        <w:ind w:left="848" w:hangingChars="303" w:hanging="848"/>
        <w:jc w:val="both"/>
        <w:rPr>
          <w:rFonts w:ascii="Times New Roman" w:eastAsia="標楷體" w:hAnsi="標楷體" w:cs="Times New Roman"/>
          <w:sz w:val="28"/>
        </w:rPr>
      </w:pPr>
      <w:r w:rsidRPr="006156C5">
        <w:rPr>
          <w:rFonts w:ascii="Times New Roman" w:eastAsia="標楷體" w:hAnsi="標楷體" w:cs="Times New Roman"/>
          <w:sz w:val="28"/>
        </w:rPr>
        <w:t>（</w:t>
      </w:r>
      <w:r>
        <w:rPr>
          <w:rFonts w:ascii="Times New Roman" w:eastAsia="標楷體" w:hAnsi="標楷體" w:cs="Times New Roman" w:hint="eastAsia"/>
          <w:sz w:val="28"/>
        </w:rPr>
        <w:t>一</w:t>
      </w:r>
      <w:r>
        <w:rPr>
          <w:rFonts w:ascii="Times New Roman" w:eastAsia="標楷體" w:hAnsi="標楷體" w:cs="Times New Roman"/>
          <w:sz w:val="28"/>
        </w:rPr>
        <w:t>）</w:t>
      </w:r>
      <w:r w:rsidRPr="006156C5">
        <w:rPr>
          <w:rFonts w:ascii="Times New Roman" w:eastAsia="標楷體" w:hAnsi="標楷體" w:cs="Times New Roman" w:hint="eastAsia"/>
          <w:sz w:val="28"/>
        </w:rPr>
        <w:t>若應分配價值得滿足一戶單元加一</w:t>
      </w:r>
      <w:r>
        <w:rPr>
          <w:rFonts w:ascii="Times New Roman" w:eastAsia="標楷體" w:hAnsi="標楷體" w:cs="Times New Roman" w:hint="eastAsia"/>
          <w:sz w:val="28"/>
        </w:rPr>
        <w:t>部停</w:t>
      </w:r>
      <w:r w:rsidRPr="006156C5">
        <w:rPr>
          <w:rFonts w:ascii="Times New Roman" w:eastAsia="標楷體" w:hAnsi="標楷體" w:cs="Times New Roman" w:hint="eastAsia"/>
          <w:sz w:val="28"/>
        </w:rPr>
        <w:t>車位，則選配時以一戶一車位為原則</w:t>
      </w:r>
      <w:r w:rsidR="009650AA">
        <w:rPr>
          <w:rFonts w:ascii="Times New Roman" w:eastAsia="標楷體" w:hAnsi="標楷體" w:cs="Times New Roman" w:hint="eastAsia"/>
          <w:sz w:val="28"/>
        </w:rPr>
        <w:t>，</w:t>
      </w:r>
      <w:r w:rsidR="0015399B" w:rsidRPr="00FF4E1B">
        <w:rPr>
          <w:rFonts w:ascii="Times New Roman" w:eastAsia="標楷體" w:hAnsi="標楷體" w:cs="Times New Roman" w:hint="eastAsia"/>
          <w:sz w:val="28"/>
        </w:rPr>
        <w:t>並為符合臺北市都市更新</w:t>
      </w:r>
      <w:r w:rsidR="000C799E" w:rsidRPr="00FF4E1B">
        <w:rPr>
          <w:rFonts w:ascii="Times New Roman" w:eastAsia="標楷體" w:hAnsi="標楷體" w:cs="Times New Roman" w:hint="eastAsia"/>
          <w:sz w:val="28"/>
        </w:rPr>
        <w:t>自治條例第</w:t>
      </w:r>
      <w:r w:rsidR="000C799E" w:rsidRPr="00FF4E1B">
        <w:rPr>
          <w:rFonts w:ascii="Times New Roman" w:eastAsia="標楷體" w:hAnsi="標楷體" w:cs="Times New Roman" w:hint="eastAsia"/>
          <w:sz w:val="28"/>
        </w:rPr>
        <w:t>11</w:t>
      </w:r>
      <w:r w:rsidR="000C799E" w:rsidRPr="00FF4E1B">
        <w:rPr>
          <w:rFonts w:ascii="Times New Roman" w:eastAsia="標楷體" w:hAnsi="標楷體" w:cs="Times New Roman" w:hint="eastAsia"/>
          <w:sz w:val="28"/>
        </w:rPr>
        <w:t>條之權利變換最小分配面積單元規定，故</w:t>
      </w:r>
      <w:r w:rsidR="00165FFF" w:rsidRPr="00FF4E1B">
        <w:rPr>
          <w:rFonts w:ascii="Times New Roman" w:eastAsia="標楷體" w:hAnsi="標楷體" w:cs="Times New Roman" w:hint="eastAsia"/>
          <w:sz w:val="28"/>
        </w:rPr>
        <w:t>A2-2F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A3-2F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A2-3F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A3-3F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A2-4F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A3-4F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A2-5F</w:t>
      </w:r>
      <w:r w:rsidR="00165FFF" w:rsidRPr="00FF4E1B">
        <w:rPr>
          <w:rFonts w:ascii="Times New Roman" w:eastAsia="標楷體" w:hAnsi="標楷體" w:cs="Times New Roman" w:hint="eastAsia"/>
          <w:sz w:val="28"/>
        </w:rPr>
        <w:t>、</w:t>
      </w:r>
      <w:r w:rsidR="00165FFF" w:rsidRPr="00FF4E1B">
        <w:rPr>
          <w:rFonts w:ascii="Times New Roman" w:eastAsia="標楷體" w:hAnsi="標楷體" w:cs="Times New Roman" w:hint="eastAsia"/>
          <w:sz w:val="28"/>
        </w:rPr>
        <w:t>A3-5F</w:t>
      </w:r>
      <w:r w:rsidR="000C799E" w:rsidRPr="00FF4E1B">
        <w:rPr>
          <w:rFonts w:ascii="Times New Roman" w:eastAsia="標楷體" w:hAnsi="標楷體" w:cs="Times New Roman" w:hint="eastAsia"/>
          <w:sz w:val="28"/>
        </w:rPr>
        <w:t>等</w:t>
      </w:r>
      <w:r w:rsidR="000C799E" w:rsidRPr="00FF4E1B">
        <w:rPr>
          <w:rFonts w:ascii="Times New Roman" w:eastAsia="標楷體" w:hAnsi="標楷體" w:cs="Times New Roman" w:hint="eastAsia"/>
          <w:sz w:val="28"/>
        </w:rPr>
        <w:t>8</w:t>
      </w:r>
      <w:r w:rsidR="000C799E" w:rsidRPr="00FF4E1B">
        <w:rPr>
          <w:rFonts w:ascii="Times New Roman" w:eastAsia="標楷體" w:hAnsi="標楷體" w:cs="Times New Roman" w:hint="eastAsia"/>
          <w:sz w:val="28"/>
        </w:rPr>
        <w:t>戶建物</w:t>
      </w:r>
      <w:r w:rsidR="00165FFF" w:rsidRPr="00FF4E1B">
        <w:rPr>
          <w:rFonts w:ascii="Times New Roman" w:eastAsia="標楷體" w:hAnsi="標楷體" w:cs="Times New Roman" w:hint="eastAsia"/>
          <w:sz w:val="28"/>
        </w:rPr>
        <w:t>，</w:t>
      </w:r>
      <w:r w:rsidR="000C799E" w:rsidRPr="00FF4E1B">
        <w:rPr>
          <w:rFonts w:ascii="Times New Roman" w:eastAsia="標楷體" w:hAnsi="標楷體" w:cs="Times New Roman" w:hint="eastAsia"/>
          <w:sz w:val="28"/>
        </w:rPr>
        <w:t>不納入權利變換選配範圍</w:t>
      </w:r>
      <w:r w:rsidRPr="00FF4E1B">
        <w:rPr>
          <w:rFonts w:ascii="Times New Roman" w:eastAsia="標楷體" w:hAnsi="標楷體" w:cs="Times New Roman" w:hint="eastAsia"/>
          <w:sz w:val="28"/>
        </w:rPr>
        <w:t>。</w:t>
      </w:r>
    </w:p>
    <w:p w:rsidR="00812AA9" w:rsidRDefault="00213B59" w:rsidP="009650AA">
      <w:pPr>
        <w:spacing w:line="500" w:lineRule="exact"/>
        <w:ind w:leftChars="-57" w:left="711" w:hangingChars="303" w:hanging="848"/>
        <w:jc w:val="both"/>
        <w:rPr>
          <w:rFonts w:ascii="Times New Roman" w:eastAsia="標楷體" w:hAnsi="標楷體" w:cs="Times New Roman"/>
          <w:sz w:val="28"/>
        </w:rPr>
      </w:pPr>
      <w:r>
        <w:rPr>
          <w:rFonts w:ascii="Times New Roman" w:eastAsia="標楷體" w:hAnsi="標楷體" w:cs="Times New Roman"/>
          <w:sz w:val="28"/>
        </w:rPr>
        <w:t>（</w:t>
      </w:r>
      <w:r>
        <w:rPr>
          <w:rFonts w:ascii="Times New Roman" w:eastAsia="標楷體" w:hAnsi="標楷體" w:cs="Times New Roman" w:hint="eastAsia"/>
          <w:sz w:val="28"/>
        </w:rPr>
        <w:t>二</w:t>
      </w:r>
      <w:r>
        <w:rPr>
          <w:rFonts w:ascii="Times New Roman" w:eastAsia="標楷體" w:hAnsi="標楷體" w:cs="Times New Roman"/>
          <w:sz w:val="28"/>
        </w:rPr>
        <w:t>）</w:t>
      </w:r>
      <w:r w:rsidR="00D12B28" w:rsidRPr="00641564">
        <w:rPr>
          <w:rFonts w:ascii="Times New Roman" w:eastAsia="標楷體" w:hAnsi="標楷體" w:cs="Times New Roman"/>
          <w:sz w:val="28"/>
        </w:rPr>
        <w:t>依據都市更新條例</w:t>
      </w:r>
      <w:r w:rsidR="00774CFC">
        <w:rPr>
          <w:rFonts w:ascii="Times New Roman" w:eastAsia="標楷體" w:hAnsi="標楷體" w:cs="Times New Roman" w:hint="eastAsia"/>
          <w:sz w:val="28"/>
        </w:rPr>
        <w:t>第</w:t>
      </w:r>
      <w:r w:rsidR="00D12B28" w:rsidRPr="00641564">
        <w:rPr>
          <w:rFonts w:ascii="Times New Roman" w:eastAsia="標楷體" w:hAnsi="Times New Roman" w:cs="Times New Roman"/>
          <w:sz w:val="28"/>
        </w:rPr>
        <w:t>31</w:t>
      </w:r>
      <w:r w:rsidR="00D12B28" w:rsidRPr="00641564">
        <w:rPr>
          <w:rFonts w:ascii="Times New Roman" w:eastAsia="標楷體" w:hAnsi="標楷體" w:cs="Times New Roman"/>
          <w:sz w:val="28"/>
        </w:rPr>
        <w:t>條：「權利變換後之土地及建築物扣除前條規定折價抵付共同負擔後，其餘土地及建築物依各宗土地權利變換前之權利價值比例，分配與原土地所有權人。」為避免影響其他權利人選屋之權益與保障他項權利人之債權，實際選屋</w:t>
      </w:r>
      <w:r w:rsidR="00D12B28" w:rsidRPr="00641564">
        <w:rPr>
          <w:rFonts w:ascii="Times New Roman" w:eastAsia="標楷體" w:hAnsi="Times New Roman" w:cs="Times New Roman"/>
          <w:sz w:val="28"/>
        </w:rPr>
        <w:t>(</w:t>
      </w:r>
      <w:r w:rsidR="00D12B28" w:rsidRPr="00641564">
        <w:rPr>
          <w:rFonts w:ascii="Times New Roman" w:eastAsia="標楷體" w:hAnsi="標楷體" w:cs="Times New Roman"/>
          <w:sz w:val="28"/>
        </w:rPr>
        <w:t>含車位</w:t>
      </w:r>
      <w:r w:rsidR="00D12B28" w:rsidRPr="00641564">
        <w:rPr>
          <w:rFonts w:ascii="Times New Roman" w:eastAsia="標楷體" w:hAnsi="Times New Roman" w:cs="Times New Roman"/>
          <w:sz w:val="28"/>
        </w:rPr>
        <w:t>)</w:t>
      </w:r>
      <w:r w:rsidR="00D12B28" w:rsidRPr="00641564">
        <w:rPr>
          <w:rFonts w:ascii="Times New Roman" w:eastAsia="標楷體" w:hAnsi="標楷體" w:cs="Times New Roman"/>
          <w:sz w:val="28"/>
        </w:rPr>
        <w:t>之總價值與選屋權利價值之差額找補，以不超過選屋權利價值之</w:t>
      </w:r>
      <w:r w:rsidR="00D12B28" w:rsidRPr="00641564">
        <w:rPr>
          <w:rFonts w:ascii="Times New Roman" w:eastAsia="標楷體" w:hAnsi="Times New Roman" w:cs="Times New Roman"/>
          <w:sz w:val="28"/>
        </w:rPr>
        <w:t>10%</w:t>
      </w:r>
      <w:r w:rsidR="00D12B28" w:rsidRPr="00641564">
        <w:rPr>
          <w:rFonts w:ascii="Times New Roman" w:eastAsia="標楷體" w:hAnsi="標楷體" w:cs="Times New Roman"/>
          <w:sz w:val="28"/>
        </w:rPr>
        <w:t>為原則，若不影響其他</w:t>
      </w:r>
      <w:r w:rsidR="00774CFC">
        <w:rPr>
          <w:rFonts w:ascii="Times New Roman" w:eastAsia="標楷體" w:hAnsi="標楷體" w:cs="Times New Roman"/>
          <w:sz w:val="28"/>
        </w:rPr>
        <w:t>權利人及債權人權益並經與實施者合意確認其財務可行性者，不在此限</w:t>
      </w:r>
      <w:r w:rsidR="00812AA9">
        <w:rPr>
          <w:rFonts w:ascii="Times New Roman" w:eastAsia="標楷體" w:hAnsi="標楷體" w:cs="Times New Roman" w:hint="eastAsia"/>
          <w:sz w:val="28"/>
        </w:rPr>
        <w:t>。</w:t>
      </w:r>
    </w:p>
    <w:p w:rsidR="00D12B28" w:rsidRPr="00641564" w:rsidRDefault="00213B59" w:rsidP="00213B59">
      <w:pPr>
        <w:spacing w:line="500" w:lineRule="exact"/>
        <w:ind w:left="848" w:hangingChars="303" w:hanging="848"/>
        <w:jc w:val="both"/>
        <w:rPr>
          <w:rFonts w:ascii="Times New Roman" w:eastAsia="標楷體" w:hAnsi="Times New Roman" w:cs="Times New Roman"/>
          <w:sz w:val="28"/>
        </w:rPr>
      </w:pPr>
      <w:r>
        <w:rPr>
          <w:rFonts w:ascii="Times New Roman" w:eastAsia="標楷體" w:hAnsi="標楷體" w:cs="Times New Roman"/>
          <w:sz w:val="28"/>
        </w:rPr>
        <w:t>（</w:t>
      </w:r>
      <w:r>
        <w:rPr>
          <w:rFonts w:ascii="Times New Roman" w:eastAsia="標楷體" w:hAnsi="標楷體" w:cs="Times New Roman" w:hint="eastAsia"/>
          <w:sz w:val="28"/>
        </w:rPr>
        <w:t>三</w:t>
      </w:r>
      <w:r>
        <w:rPr>
          <w:rFonts w:ascii="Times New Roman" w:eastAsia="標楷體" w:hAnsi="標楷體" w:cs="Times New Roman"/>
          <w:sz w:val="28"/>
        </w:rPr>
        <w:t>）</w:t>
      </w:r>
      <w:r w:rsidR="00D12B28" w:rsidRPr="00641564">
        <w:rPr>
          <w:rFonts w:ascii="Times New Roman" w:eastAsia="標楷體" w:hAnsi="標楷體" w:cs="Times New Roman"/>
          <w:sz w:val="28"/>
        </w:rPr>
        <w:t>若選屋權利價值低於最小分配單元之價值，且未符上述選配原則而無法參與分配者，依都市更新條例第</w:t>
      </w:r>
      <w:r w:rsidR="00D12B28" w:rsidRPr="00641564">
        <w:rPr>
          <w:rFonts w:ascii="Times New Roman" w:eastAsia="標楷體" w:hAnsi="Times New Roman" w:cs="Times New Roman"/>
          <w:sz w:val="28"/>
        </w:rPr>
        <w:t>31</w:t>
      </w:r>
      <w:r w:rsidR="00D12B28" w:rsidRPr="00641564">
        <w:rPr>
          <w:rFonts w:ascii="Times New Roman" w:eastAsia="標楷體" w:hAnsi="標楷體" w:cs="Times New Roman"/>
          <w:sz w:val="28"/>
        </w:rPr>
        <w:t>條規定，以領取更新前權利價值之現金補償或以與其他權利人合併分配方式參與分配。</w:t>
      </w:r>
    </w:p>
    <w:p w:rsidR="00642BAE" w:rsidRPr="00641564" w:rsidRDefault="00642BAE" w:rsidP="00213B59">
      <w:pPr>
        <w:spacing w:line="500" w:lineRule="exact"/>
        <w:ind w:left="848" w:hangingChars="303" w:hanging="848"/>
        <w:jc w:val="both"/>
        <w:rPr>
          <w:rFonts w:ascii="Times New Roman" w:eastAsia="標楷體" w:hAnsi="Times New Roman" w:cs="Times New Roman"/>
          <w:sz w:val="28"/>
        </w:rPr>
      </w:pPr>
      <w:r w:rsidRPr="00641564">
        <w:rPr>
          <w:rFonts w:ascii="Times New Roman" w:eastAsia="標楷體" w:hAnsi="標楷體" w:cs="Times New Roman"/>
          <w:sz w:val="28"/>
        </w:rPr>
        <w:t>（</w:t>
      </w:r>
      <w:r w:rsidR="00213B59">
        <w:rPr>
          <w:rFonts w:ascii="Times New Roman" w:eastAsia="標楷體" w:hAnsi="標楷體" w:cs="Times New Roman" w:hint="eastAsia"/>
          <w:sz w:val="28"/>
        </w:rPr>
        <w:t>四</w:t>
      </w:r>
      <w:r w:rsidR="00213B59">
        <w:rPr>
          <w:rFonts w:ascii="Times New Roman" w:eastAsia="標楷體" w:hAnsi="標楷體" w:cs="Times New Roman"/>
          <w:sz w:val="28"/>
        </w:rPr>
        <w:t>）</w:t>
      </w:r>
      <w:r w:rsidRPr="00642BAE">
        <w:rPr>
          <w:rFonts w:ascii="Times New Roman" w:eastAsia="標楷體" w:hAnsi="Times New Roman" w:cs="Times New Roman" w:hint="eastAsia"/>
          <w:sz w:val="28"/>
        </w:rPr>
        <w:t>依都市更新權利變換辦法第</w:t>
      </w:r>
      <w:r w:rsidRPr="00642BAE">
        <w:rPr>
          <w:rFonts w:ascii="Times New Roman" w:eastAsia="標楷體" w:hAnsi="Times New Roman" w:cs="Times New Roman" w:hint="eastAsia"/>
          <w:sz w:val="28"/>
        </w:rPr>
        <w:t>11</w:t>
      </w:r>
      <w:r w:rsidRPr="00642BAE">
        <w:rPr>
          <w:rFonts w:ascii="Times New Roman" w:eastAsia="標楷體" w:hAnsi="Times New Roman" w:cs="Times New Roman" w:hint="eastAsia"/>
          <w:sz w:val="28"/>
        </w:rPr>
        <w:t>條規定，已達最小分配單元之未申請者及同一位置有二人以上申請分配時，應以公開抽籤方式辦理</w:t>
      </w:r>
      <w:r w:rsidR="00774CFC">
        <w:rPr>
          <w:rFonts w:ascii="Times New Roman" w:eastAsia="標楷體" w:hAnsi="Times New Roman" w:cs="Times New Roman" w:hint="eastAsia"/>
          <w:sz w:val="28"/>
        </w:rPr>
        <w:t>。</w:t>
      </w:r>
    </w:p>
    <w:p w:rsidR="009650AA" w:rsidRPr="009650AA" w:rsidRDefault="009650AA" w:rsidP="006156C5">
      <w:pPr>
        <w:spacing w:line="500" w:lineRule="exact"/>
        <w:ind w:leftChars="412" w:left="1269" w:hangingChars="100" w:hanging="280"/>
        <w:jc w:val="both"/>
        <w:rPr>
          <w:rFonts w:ascii="Times New Roman" w:eastAsia="標楷體" w:hAnsi="標楷體" w:cs="Times New Roman"/>
          <w:sz w:val="28"/>
        </w:rPr>
      </w:pPr>
    </w:p>
    <w:sectPr w:rsidR="009650AA" w:rsidRPr="009650AA" w:rsidSect="000301F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2E" w:rsidRDefault="0037252E" w:rsidP="00641564">
      <w:r>
        <w:separator/>
      </w:r>
    </w:p>
  </w:endnote>
  <w:endnote w:type="continuationSeparator" w:id="1">
    <w:p w:rsidR="0037252E" w:rsidRDefault="0037252E" w:rsidP="00641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2E" w:rsidRDefault="0037252E" w:rsidP="00641564">
      <w:r>
        <w:separator/>
      </w:r>
    </w:p>
  </w:footnote>
  <w:footnote w:type="continuationSeparator" w:id="1">
    <w:p w:rsidR="0037252E" w:rsidRDefault="0037252E" w:rsidP="00641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B28"/>
    <w:rsid w:val="000301FD"/>
    <w:rsid w:val="000C799E"/>
    <w:rsid w:val="0015399B"/>
    <w:rsid w:val="00165FFF"/>
    <w:rsid w:val="00213B59"/>
    <w:rsid w:val="0037252E"/>
    <w:rsid w:val="003840CD"/>
    <w:rsid w:val="003F5267"/>
    <w:rsid w:val="00557CFC"/>
    <w:rsid w:val="005918A7"/>
    <w:rsid w:val="0060604C"/>
    <w:rsid w:val="006156C5"/>
    <w:rsid w:val="00641564"/>
    <w:rsid w:val="0064168C"/>
    <w:rsid w:val="00642BAE"/>
    <w:rsid w:val="00725553"/>
    <w:rsid w:val="00774CFC"/>
    <w:rsid w:val="00812AA9"/>
    <w:rsid w:val="00836025"/>
    <w:rsid w:val="009650AA"/>
    <w:rsid w:val="00A56596"/>
    <w:rsid w:val="00B16A3B"/>
    <w:rsid w:val="00B9287B"/>
    <w:rsid w:val="00BE5C5D"/>
    <w:rsid w:val="00CB3B96"/>
    <w:rsid w:val="00D12B28"/>
    <w:rsid w:val="00D848D1"/>
    <w:rsid w:val="00D96BF0"/>
    <w:rsid w:val="00E67449"/>
    <w:rsid w:val="00F8091F"/>
    <w:rsid w:val="00F83D16"/>
    <w:rsid w:val="00FF4E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1564"/>
    <w:pPr>
      <w:tabs>
        <w:tab w:val="center" w:pos="4153"/>
        <w:tab w:val="right" w:pos="8306"/>
      </w:tabs>
      <w:snapToGrid w:val="0"/>
    </w:pPr>
    <w:rPr>
      <w:sz w:val="20"/>
      <w:szCs w:val="20"/>
    </w:rPr>
  </w:style>
  <w:style w:type="character" w:customStyle="1" w:styleId="a4">
    <w:name w:val="頁首 字元"/>
    <w:basedOn w:val="a0"/>
    <w:link w:val="a3"/>
    <w:uiPriority w:val="99"/>
    <w:semiHidden/>
    <w:rsid w:val="00641564"/>
    <w:rPr>
      <w:sz w:val="20"/>
      <w:szCs w:val="20"/>
    </w:rPr>
  </w:style>
  <w:style w:type="paragraph" w:styleId="a5">
    <w:name w:val="footer"/>
    <w:basedOn w:val="a"/>
    <w:link w:val="a6"/>
    <w:uiPriority w:val="99"/>
    <w:semiHidden/>
    <w:unhideWhenUsed/>
    <w:rsid w:val="00641564"/>
    <w:pPr>
      <w:tabs>
        <w:tab w:val="center" w:pos="4153"/>
        <w:tab w:val="right" w:pos="8306"/>
      </w:tabs>
      <w:snapToGrid w:val="0"/>
    </w:pPr>
    <w:rPr>
      <w:sz w:val="20"/>
      <w:szCs w:val="20"/>
    </w:rPr>
  </w:style>
  <w:style w:type="character" w:customStyle="1" w:styleId="a6">
    <w:name w:val="頁尾 字元"/>
    <w:basedOn w:val="a0"/>
    <w:link w:val="a5"/>
    <w:uiPriority w:val="99"/>
    <w:semiHidden/>
    <w:rsid w:val="0064156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C.M.T</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Genuine</cp:lastModifiedBy>
  <cp:revision>3</cp:revision>
  <cp:lastPrinted>2015-01-12T02:21:00Z</cp:lastPrinted>
  <dcterms:created xsi:type="dcterms:W3CDTF">2015-01-12T05:37:00Z</dcterms:created>
  <dcterms:modified xsi:type="dcterms:W3CDTF">2015-02-26T01:12:00Z</dcterms:modified>
</cp:coreProperties>
</file>